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F4C1D" w14:textId="77777777" w:rsidR="003E2ADF" w:rsidRPr="00BC161B" w:rsidRDefault="00BC161B">
      <w:pPr>
        <w:rPr>
          <w:rFonts w:ascii="MIonic" w:hAnsi="MIonic" w:cs="MIonic"/>
          <w:sz w:val="20"/>
          <w:szCs w:val="20"/>
        </w:rPr>
      </w:pPr>
      <w:r w:rsidRPr="00BC161B">
        <w:rPr>
          <w:sz w:val="20"/>
          <w:szCs w:val="20"/>
        </w:rPr>
        <w:t xml:space="preserve">4 - </w:t>
      </w:r>
      <w:r w:rsidRPr="00BC161B">
        <w:rPr>
          <w:rFonts w:ascii="MIonic" w:hAnsi="MIonic" w:cs="MIonic"/>
          <w:sz w:val="20"/>
          <w:szCs w:val="20"/>
        </w:rPr>
        <w:t>Vessels in foreign and domestic trades</w:t>
      </w:r>
    </w:p>
    <w:p w14:paraId="7FF7C8C0" w14:textId="77777777" w:rsidR="00BC161B" w:rsidRPr="00BC161B" w:rsidRDefault="00BC161B" w:rsidP="00BC161B">
      <w:pPr>
        <w:autoSpaceDE w:val="0"/>
        <w:autoSpaceDN w:val="0"/>
        <w:adjustRightInd w:val="0"/>
        <w:spacing w:after="0" w:line="240" w:lineRule="auto"/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7 - Customs relations with insular possessions and</w:t>
      </w:r>
    </w:p>
    <w:p w14:paraId="5FDD743F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 xml:space="preserve">     Guantanamo Bay Naval Station</w:t>
      </w:r>
    </w:p>
    <w:p w14:paraId="4DC17086" w14:textId="77777777" w:rsidR="00BC161B" w:rsidRPr="00BC161B" w:rsidRDefault="00BC161B" w:rsidP="00BC161B">
      <w:pPr>
        <w:autoSpaceDE w:val="0"/>
        <w:autoSpaceDN w:val="0"/>
        <w:adjustRightInd w:val="0"/>
        <w:spacing w:after="0" w:line="240" w:lineRule="auto"/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10 - Articles conditionally free, subject to a reduced</w:t>
      </w:r>
    </w:p>
    <w:p w14:paraId="1106A424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 xml:space="preserve">       rate, etc.</w:t>
      </w:r>
    </w:p>
    <w:p w14:paraId="46D3BC4A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11 – Packing and stamping; marking</w:t>
      </w:r>
    </w:p>
    <w:p w14:paraId="43EB3A19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12 – Special classes of merchandise</w:t>
      </w:r>
    </w:p>
    <w:p w14:paraId="3220BB68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18 – Transportation in bond and merchandise in      transit</w:t>
      </w:r>
    </w:p>
    <w:p w14:paraId="2CC254F5" w14:textId="77777777" w:rsidR="00BC161B" w:rsidRPr="00BC161B" w:rsidRDefault="00BC161B" w:rsidP="00BC161B">
      <w:pPr>
        <w:autoSpaceDE w:val="0"/>
        <w:autoSpaceDN w:val="0"/>
        <w:adjustRightInd w:val="0"/>
        <w:spacing w:after="0" w:line="240" w:lineRule="auto"/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19 –  Customs warehouses, container stations and     control of merchandise therein</w:t>
      </w:r>
    </w:p>
    <w:p w14:paraId="3641FC1E" w14:textId="77777777" w:rsidR="00BC161B" w:rsidRPr="00BC161B" w:rsidRDefault="00BC161B" w:rsidP="00BC161B">
      <w:pPr>
        <w:autoSpaceDE w:val="0"/>
        <w:autoSpaceDN w:val="0"/>
        <w:adjustRightInd w:val="0"/>
        <w:spacing w:after="0" w:line="240" w:lineRule="auto"/>
        <w:rPr>
          <w:rFonts w:ascii="MIonic" w:hAnsi="MIonic" w:cs="MIonic"/>
          <w:sz w:val="20"/>
          <w:szCs w:val="20"/>
        </w:rPr>
      </w:pPr>
    </w:p>
    <w:p w14:paraId="1C71DED2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24 – Customs financial and accounting procedure</w:t>
      </w:r>
    </w:p>
    <w:p w14:paraId="577DE28C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54 – Certain importations temporarily free of duty</w:t>
      </w:r>
    </w:p>
    <w:p w14:paraId="136900E9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101 – General provisions</w:t>
      </w:r>
    </w:p>
    <w:p w14:paraId="3E549B46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102 – Rules of origin</w:t>
      </w:r>
    </w:p>
    <w:p w14:paraId="4ED5A1D9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103 – Availability of information</w:t>
      </w:r>
    </w:p>
    <w:p w14:paraId="74AEDE5E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111 – Customs brokers</w:t>
      </w:r>
    </w:p>
    <w:p w14:paraId="7395A27F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 xml:space="preserve">112 – Carriers, </w:t>
      </w:r>
      <w:proofErr w:type="spellStart"/>
      <w:r w:rsidRPr="00BC161B">
        <w:rPr>
          <w:rFonts w:ascii="MIonic" w:hAnsi="MIonic" w:cs="MIonic"/>
          <w:sz w:val="20"/>
          <w:szCs w:val="20"/>
        </w:rPr>
        <w:t>cartmen</w:t>
      </w:r>
      <w:proofErr w:type="spellEnd"/>
      <w:r w:rsidRPr="00BC161B">
        <w:rPr>
          <w:rFonts w:ascii="MIonic" w:hAnsi="MIonic" w:cs="MIonic"/>
          <w:sz w:val="20"/>
          <w:szCs w:val="20"/>
        </w:rPr>
        <w:t xml:space="preserve">, and </w:t>
      </w:r>
      <w:proofErr w:type="spellStart"/>
      <w:r w:rsidRPr="00BC161B">
        <w:rPr>
          <w:rFonts w:ascii="MIonic" w:hAnsi="MIonic" w:cs="MIonic"/>
          <w:sz w:val="20"/>
          <w:szCs w:val="20"/>
        </w:rPr>
        <w:t>lightermen</w:t>
      </w:r>
      <w:proofErr w:type="spellEnd"/>
    </w:p>
    <w:p w14:paraId="4E87E722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113 – CBP bonds</w:t>
      </w:r>
    </w:p>
    <w:p w14:paraId="4EBAED13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114 – Carnets</w:t>
      </w:r>
    </w:p>
    <w:p w14:paraId="7425D70D" w14:textId="77777777" w:rsidR="00BC161B" w:rsidRPr="00BC161B" w:rsidRDefault="00BC161B" w:rsidP="00BC161B">
      <w:pPr>
        <w:autoSpaceDE w:val="0"/>
        <w:autoSpaceDN w:val="0"/>
        <w:adjustRightInd w:val="0"/>
        <w:spacing w:after="0" w:line="240" w:lineRule="auto"/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115 – Cargo container and road vehicle certification       pursuant to international customs conventions</w:t>
      </w:r>
    </w:p>
    <w:p w14:paraId="6AB8162A" w14:textId="77777777" w:rsidR="00BC161B" w:rsidRPr="00BC161B" w:rsidRDefault="00BC161B" w:rsidP="00BC161B">
      <w:pPr>
        <w:autoSpaceDE w:val="0"/>
        <w:autoSpaceDN w:val="0"/>
        <w:adjustRightInd w:val="0"/>
        <w:spacing w:after="0" w:line="240" w:lineRule="auto"/>
        <w:rPr>
          <w:rFonts w:ascii="MIonic" w:hAnsi="MIonic" w:cs="MIonic"/>
          <w:sz w:val="20"/>
          <w:szCs w:val="20"/>
        </w:rPr>
      </w:pPr>
    </w:p>
    <w:p w14:paraId="3337409F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118 – Centralized examination stations</w:t>
      </w:r>
    </w:p>
    <w:p w14:paraId="69B6D4CC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122 – Air Commerce regulations</w:t>
      </w:r>
    </w:p>
    <w:p w14:paraId="260E896D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123 – CBP relations with Canada and Mexico</w:t>
      </w:r>
    </w:p>
    <w:p w14:paraId="16BAE2FB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bookmarkStart w:id="0" w:name="_GoBack"/>
      <w:bookmarkEnd w:id="0"/>
      <w:r w:rsidRPr="00BC161B">
        <w:rPr>
          <w:rFonts w:ascii="MIonic" w:hAnsi="MIonic" w:cs="MIonic"/>
          <w:sz w:val="20"/>
          <w:szCs w:val="20"/>
        </w:rPr>
        <w:t xml:space="preserve">125 – Cartage and </w:t>
      </w:r>
      <w:proofErr w:type="spellStart"/>
      <w:r w:rsidRPr="00BC161B">
        <w:rPr>
          <w:rFonts w:ascii="MIonic" w:hAnsi="MIonic" w:cs="MIonic"/>
          <w:sz w:val="20"/>
          <w:szCs w:val="20"/>
        </w:rPr>
        <w:t>lighterage</w:t>
      </w:r>
      <w:proofErr w:type="spellEnd"/>
      <w:r w:rsidRPr="00BC161B">
        <w:rPr>
          <w:rFonts w:ascii="MIonic" w:hAnsi="MIonic" w:cs="MIonic"/>
          <w:sz w:val="20"/>
          <w:szCs w:val="20"/>
        </w:rPr>
        <w:t xml:space="preserve"> of merchandise</w:t>
      </w:r>
    </w:p>
    <w:p w14:paraId="1AA27C7F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127 – General order, unclaimed, and abandoned    merchandise</w:t>
      </w:r>
    </w:p>
    <w:p w14:paraId="668EC849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128 – Express consignments</w:t>
      </w:r>
    </w:p>
    <w:p w14:paraId="0EA6828C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132 – Quotas</w:t>
      </w:r>
    </w:p>
    <w:p w14:paraId="24EAE929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133 – Trademarks, trade names, and copyrights</w:t>
      </w:r>
    </w:p>
    <w:p w14:paraId="62FF9B7D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134 – Country of origin marking</w:t>
      </w:r>
    </w:p>
    <w:p w14:paraId="02FD0333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141 – Entry of merchandise</w:t>
      </w:r>
    </w:p>
    <w:p w14:paraId="3F706783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142 – Entry process</w:t>
      </w:r>
    </w:p>
    <w:p w14:paraId="563FD7F8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143 – Special entry procedures</w:t>
      </w:r>
    </w:p>
    <w:p w14:paraId="6A4D2B98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lastRenderedPageBreak/>
        <w:t xml:space="preserve">144 – Warehouse and </w:t>
      </w:r>
      <w:proofErr w:type="spellStart"/>
      <w:r w:rsidRPr="00BC161B">
        <w:rPr>
          <w:rFonts w:ascii="MIonic" w:hAnsi="MIonic" w:cs="MIonic"/>
          <w:sz w:val="20"/>
          <w:szCs w:val="20"/>
        </w:rPr>
        <w:t>rewarehouse</w:t>
      </w:r>
      <w:proofErr w:type="spellEnd"/>
      <w:r w:rsidRPr="00BC161B">
        <w:rPr>
          <w:rFonts w:ascii="MIonic" w:hAnsi="MIonic" w:cs="MIonic"/>
          <w:sz w:val="20"/>
          <w:szCs w:val="20"/>
        </w:rPr>
        <w:t xml:space="preserve"> entries and withdrawals</w:t>
      </w:r>
    </w:p>
    <w:p w14:paraId="2D8E52A4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145 – Mail importations</w:t>
      </w:r>
    </w:p>
    <w:p w14:paraId="4805310C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146 – Foreign trade zones</w:t>
      </w:r>
    </w:p>
    <w:p w14:paraId="0A37808A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147 – Trade fairs</w:t>
      </w:r>
    </w:p>
    <w:p w14:paraId="0E4AE62F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148 – Personal declarations and exemptions</w:t>
      </w:r>
    </w:p>
    <w:p w14:paraId="6A6D4774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149 – Importer Security Filing</w:t>
      </w:r>
    </w:p>
    <w:p w14:paraId="7D5B17AF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151 – Examination, sampling, and testing of merchandise</w:t>
      </w:r>
    </w:p>
    <w:p w14:paraId="2AA8A004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152 – Classification and appraisement of merchandise</w:t>
      </w:r>
    </w:p>
    <w:p w14:paraId="220F94A5" w14:textId="77777777" w:rsidR="00BC161B" w:rsidRPr="00BC161B" w:rsidRDefault="00BC161B" w:rsidP="00BC161B">
      <w:pPr>
        <w:autoSpaceDE w:val="0"/>
        <w:autoSpaceDN w:val="0"/>
        <w:adjustRightInd w:val="0"/>
        <w:spacing w:after="0" w:line="240" w:lineRule="auto"/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158 – Relief from duties on merchandise lost, damaged, abandoned, or exported</w:t>
      </w:r>
    </w:p>
    <w:p w14:paraId="4AC63397" w14:textId="77777777" w:rsidR="00BC161B" w:rsidRPr="00BC161B" w:rsidRDefault="00BC161B" w:rsidP="00BC161B">
      <w:pPr>
        <w:autoSpaceDE w:val="0"/>
        <w:autoSpaceDN w:val="0"/>
        <w:adjustRightInd w:val="0"/>
        <w:spacing w:after="0" w:line="240" w:lineRule="auto"/>
        <w:rPr>
          <w:rFonts w:ascii="MIonic" w:hAnsi="MIonic" w:cs="MIonic"/>
          <w:sz w:val="20"/>
          <w:szCs w:val="20"/>
        </w:rPr>
      </w:pPr>
    </w:p>
    <w:p w14:paraId="30B603CB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159 – Liquidation of duties</w:t>
      </w:r>
    </w:p>
    <w:p w14:paraId="51BC57B7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161 – General enforcement provisions</w:t>
      </w:r>
    </w:p>
    <w:p w14:paraId="417DE092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162 – Inspection, search, and seizure</w:t>
      </w:r>
    </w:p>
    <w:p w14:paraId="151D19C2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163 – Recordkeeping</w:t>
      </w:r>
    </w:p>
    <w:p w14:paraId="1871DD5A" w14:textId="77777777" w:rsidR="00BC161B" w:rsidRPr="00BC161B" w:rsidRDefault="00BC161B" w:rsidP="00BC161B">
      <w:pPr>
        <w:autoSpaceDE w:val="0"/>
        <w:autoSpaceDN w:val="0"/>
        <w:adjustRightInd w:val="0"/>
        <w:spacing w:after="0" w:line="240" w:lineRule="auto"/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162 – Investigation of claims of evasion of antidumping and countervailing duties</w:t>
      </w:r>
    </w:p>
    <w:p w14:paraId="6345902C" w14:textId="77777777" w:rsidR="00BC161B" w:rsidRPr="00BC161B" w:rsidRDefault="00BC161B" w:rsidP="00BC161B">
      <w:pPr>
        <w:autoSpaceDE w:val="0"/>
        <w:autoSpaceDN w:val="0"/>
        <w:adjustRightInd w:val="0"/>
        <w:spacing w:after="0" w:line="240" w:lineRule="auto"/>
        <w:rPr>
          <w:rFonts w:ascii="MIonic" w:hAnsi="MIonic" w:cs="MIonic"/>
          <w:sz w:val="20"/>
          <w:szCs w:val="20"/>
        </w:rPr>
      </w:pPr>
    </w:p>
    <w:p w14:paraId="7EB8D6F3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171 – Fines, penalties, and forfeitures</w:t>
      </w:r>
    </w:p>
    <w:p w14:paraId="141B28DB" w14:textId="77777777" w:rsidR="00BC161B" w:rsidRPr="00BC161B" w:rsidRDefault="00BC161B" w:rsidP="00BC161B">
      <w:pPr>
        <w:autoSpaceDE w:val="0"/>
        <w:autoSpaceDN w:val="0"/>
        <w:adjustRightInd w:val="0"/>
        <w:spacing w:after="0" w:line="240" w:lineRule="auto"/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172 – Claims for liquidated damages; penalties secured by bonds</w:t>
      </w:r>
    </w:p>
    <w:p w14:paraId="70FB27B5" w14:textId="77777777" w:rsidR="00BC161B" w:rsidRPr="00BC161B" w:rsidRDefault="00BC161B" w:rsidP="00BC161B">
      <w:pPr>
        <w:autoSpaceDE w:val="0"/>
        <w:autoSpaceDN w:val="0"/>
        <w:adjustRightInd w:val="0"/>
        <w:spacing w:after="0" w:line="240" w:lineRule="auto"/>
        <w:rPr>
          <w:rFonts w:ascii="MIonic" w:hAnsi="MIonic" w:cs="MIonic"/>
          <w:sz w:val="20"/>
          <w:szCs w:val="20"/>
        </w:rPr>
      </w:pPr>
    </w:p>
    <w:p w14:paraId="6E2F35E6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173 – Administrative review in general</w:t>
      </w:r>
    </w:p>
    <w:p w14:paraId="2433AF2B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174 – Protests</w:t>
      </w:r>
    </w:p>
    <w:p w14:paraId="6DD3CCC6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175 – Petitions by domestic interested parties</w:t>
      </w:r>
    </w:p>
    <w:p w14:paraId="7163C50F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176 – Proceedings in the Court of International Trade</w:t>
      </w:r>
    </w:p>
    <w:p w14:paraId="1B8BB77A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177 – Administrative rulings</w:t>
      </w:r>
    </w:p>
    <w:p w14:paraId="5A0A93DE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178 – Approval of information collection requirements</w:t>
      </w:r>
    </w:p>
    <w:p w14:paraId="62D78F9A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181 – North American Free Trade Agreement</w:t>
      </w:r>
    </w:p>
    <w:p w14:paraId="02ACECA1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191 – Drawback</w:t>
      </w:r>
    </w:p>
    <w:p w14:paraId="3EFE7C42" w14:textId="77777777" w:rsidR="00BC161B" w:rsidRPr="00BC161B" w:rsidRDefault="00BC161B" w:rsidP="00BC161B">
      <w:pPr>
        <w:rPr>
          <w:rFonts w:ascii="MIonic" w:hAnsi="MIonic" w:cs="MIonic"/>
          <w:sz w:val="20"/>
          <w:szCs w:val="20"/>
        </w:rPr>
      </w:pPr>
      <w:r w:rsidRPr="00BC161B">
        <w:rPr>
          <w:rFonts w:ascii="MIonic" w:hAnsi="MIonic" w:cs="MIonic"/>
          <w:sz w:val="20"/>
          <w:szCs w:val="20"/>
        </w:rPr>
        <w:t>192 – Export control</w:t>
      </w:r>
    </w:p>
    <w:p w14:paraId="43F1CA6B" w14:textId="77777777" w:rsidR="00BC161B" w:rsidRDefault="00BC161B" w:rsidP="00BC161B"/>
    <w:sectPr w:rsidR="00BC161B" w:rsidSect="00524B63">
      <w:headerReference w:type="default" r:id="rId6"/>
      <w:footerReference w:type="default" r:id="rId7"/>
      <w:pgSz w:w="12240" w:h="15840"/>
      <w:pgMar w:top="720" w:right="720" w:bottom="720" w:left="720" w:header="432" w:footer="28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6CCFB" w14:textId="77777777" w:rsidR="006116F0" w:rsidRDefault="006116F0" w:rsidP="00BC161B">
      <w:pPr>
        <w:spacing w:after="0" w:line="240" w:lineRule="auto"/>
      </w:pPr>
      <w:r>
        <w:separator/>
      </w:r>
    </w:p>
  </w:endnote>
  <w:endnote w:type="continuationSeparator" w:id="0">
    <w:p w14:paraId="679E57C1" w14:textId="77777777" w:rsidR="006116F0" w:rsidRDefault="006116F0" w:rsidP="00BC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onic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F3576" w14:textId="3B7D52E5" w:rsidR="00524B63" w:rsidRDefault="00524B63">
    <w:pPr>
      <w:pStyle w:val="Footer"/>
    </w:pPr>
    <w:r>
      <w:t>Imports Academy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5CCD8" w14:textId="77777777" w:rsidR="006116F0" w:rsidRDefault="006116F0" w:rsidP="00BC161B">
      <w:pPr>
        <w:spacing w:after="0" w:line="240" w:lineRule="auto"/>
      </w:pPr>
      <w:r>
        <w:separator/>
      </w:r>
    </w:p>
  </w:footnote>
  <w:footnote w:type="continuationSeparator" w:id="0">
    <w:p w14:paraId="3D52B422" w14:textId="77777777" w:rsidR="006116F0" w:rsidRDefault="006116F0" w:rsidP="00BC1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CB8FC" w14:textId="77777777" w:rsidR="00BC161B" w:rsidRDefault="00BC161B" w:rsidP="00BC161B">
    <w:pPr>
      <w:pStyle w:val="Header"/>
      <w:jc w:val="center"/>
    </w:pPr>
    <w:r>
      <w:t>19 CFR Parts</w:t>
    </w:r>
  </w:p>
  <w:p w14:paraId="62A51D49" w14:textId="77777777" w:rsidR="00524B63" w:rsidRDefault="00524B63" w:rsidP="00BC161B">
    <w:pPr>
      <w:pStyle w:val="Header"/>
      <w:jc w:val="center"/>
    </w:pPr>
  </w:p>
  <w:p w14:paraId="73615AB3" w14:textId="77777777" w:rsidR="00524B63" w:rsidRDefault="00524B63" w:rsidP="00BC161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1B"/>
    <w:rsid w:val="003E2ADF"/>
    <w:rsid w:val="00524B63"/>
    <w:rsid w:val="006116F0"/>
    <w:rsid w:val="00841FF9"/>
    <w:rsid w:val="00926193"/>
    <w:rsid w:val="00A3343F"/>
    <w:rsid w:val="00BC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9C8F7"/>
  <w15:chartTrackingRefBased/>
  <w15:docId w15:val="{B60325AB-D657-460B-B2B2-D78982A2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61B"/>
  </w:style>
  <w:style w:type="paragraph" w:styleId="Footer">
    <w:name w:val="footer"/>
    <w:basedOn w:val="Normal"/>
    <w:link w:val="FooterChar"/>
    <w:uiPriority w:val="99"/>
    <w:unhideWhenUsed/>
    <w:rsid w:val="00BC1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306</Words>
  <Characters>1917</Characters>
  <Application>Microsoft Macintosh Word</Application>
  <DocSecurity>0</DocSecurity>
  <Lines>71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Imports Academy</Company>
  <LinksUpToDate>false</LinksUpToDate>
  <CharactersWithSpaces>2156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CFR Parts</dc:title>
  <dc:subject>Customs Broker Exam reference</dc:subject>
  <dc:creator/>
  <cp:keywords/>
  <dc:description/>
  <cp:lastModifiedBy>Microsoft Office User</cp:lastModifiedBy>
  <cp:revision>4</cp:revision>
  <dcterms:created xsi:type="dcterms:W3CDTF">2017-10-23T19:53:00Z</dcterms:created>
  <dcterms:modified xsi:type="dcterms:W3CDTF">2019-05-22T17:21:00Z</dcterms:modified>
  <cp:category/>
</cp:coreProperties>
</file>